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836" w:rsidRPr="00C874C7" w:rsidRDefault="00CE374F" w:rsidP="00C52836">
      <w:pPr>
        <w:pStyle w:val="Rubrik1"/>
        <w:rPr>
          <w:sz w:val="28"/>
          <w:szCs w:val="28"/>
        </w:rPr>
      </w:pPr>
      <w:r w:rsidRPr="00C874C7">
        <w:rPr>
          <w:sz w:val="28"/>
          <w:szCs w:val="28"/>
        </w:rPr>
        <w:t xml:space="preserve">ARBETSMILJÖ </w:t>
      </w:r>
    </w:p>
    <w:p w:rsidR="00C52836" w:rsidRDefault="00CE374F" w:rsidP="00C52836">
      <w:pPr>
        <w:pStyle w:val="Rubrik2"/>
      </w:pPr>
      <w:r>
        <w:t xml:space="preserve">Inledning </w:t>
      </w:r>
    </w:p>
    <w:p w:rsidR="00C52836" w:rsidRPr="005A449C" w:rsidRDefault="00CE374F" w:rsidP="00C52836">
      <w:r>
        <w:t xml:space="preserve">Sophämtning är en bransch som tidigare varit mycket skadedrabbad. Tunga lyft hörde till vardagen och för att arbeta med insamling krävdes en mycket god fysik. Det var få sophämtare som kunde utföra sitt arbete ända fram till normal </w:t>
      </w:r>
      <w:r>
        <w:t>ålderspensionering. Idag är situationen annorlunda. Säckar har ersatts med kärl eller andra typer av behållare. Manuell hantering ersätts med ny teknik och automatiserade system. Kommunen, fastighetsinnehavare och pla</w:t>
      </w:r>
      <w:r w:rsidRPr="005A449C">
        <w:t>nerare kan bidra till förbättringar gen</w:t>
      </w:r>
      <w:r w:rsidRPr="005A449C">
        <w:t>om att engagera sig i förändringsarbetet, bl.a. genom att påskynda införandet av ny teknik som främjar arbetsmiljön. Kommunen kan redan tidigt i planeringsprocessen ta hänsyn till dessa frågor genom att ställa krav på att maskinell hantering för tunga frak</w:t>
      </w:r>
      <w:r w:rsidRPr="005A449C">
        <w:t>tioner införs.</w:t>
      </w:r>
    </w:p>
    <w:p w:rsidR="00C52836" w:rsidRPr="005A449C" w:rsidRDefault="00CE374F" w:rsidP="00C52836">
      <w:pPr>
        <w:pStyle w:val="Rubrik2"/>
      </w:pPr>
      <w:r w:rsidRPr="005A449C">
        <w:t>Arbetsgivarens ansvar</w:t>
      </w:r>
    </w:p>
    <w:p w:rsidR="00C52836" w:rsidRDefault="00CE374F" w:rsidP="00C52836">
      <w:r w:rsidRPr="005A449C">
        <w:t>Arbetsgivaren är enligt arbetsmiljölagen ansvarig för arbetsmiljön för sina anställda. Arbetsmiljöarbetet bedrivs vanligtvis genom kontroller i det dagliga arbetet och genom skyddsronder, då hämtställen inventeras och b</w:t>
      </w:r>
      <w:r w:rsidRPr="005A449C">
        <w:t>edöms utifrån arbetsmiljöaspekter. Det som gör avfallshantering lite speciell är att det mesta av arbetet utförs på mark och i fastigheter som inte arbetsgivaren råder över. Hämtning kan vägras på olämpliga ställen med hänsyn till personalens arbetsmiljö.</w:t>
      </w:r>
      <w:r>
        <w:t xml:space="preserve"> </w:t>
      </w:r>
    </w:p>
    <w:p w:rsidR="00C52836" w:rsidRDefault="00CE374F" w:rsidP="00C52836">
      <w:pPr>
        <w:pStyle w:val="Rubrik2"/>
      </w:pPr>
      <w:r>
        <w:t>Fastighetsägarens ansvar</w:t>
      </w:r>
    </w:p>
    <w:p w:rsidR="00C52836" w:rsidRPr="00DC56AD" w:rsidRDefault="00CE374F" w:rsidP="00C52836">
      <w:r>
        <w:t xml:space="preserve">Fastighetsägaren ansvarar för att avfallsutrymmen och hämtställen samt den del av transportvägen som ligger på dennes mark uppfyller kraven på en god arbetsmiljö. </w:t>
      </w:r>
    </w:p>
    <w:p w:rsidR="00C52836" w:rsidRDefault="00CE374F" w:rsidP="00C52836">
      <w:pPr>
        <w:pStyle w:val="Rubrik2"/>
      </w:pPr>
      <w:r>
        <w:t>Kommunens ansvar</w:t>
      </w:r>
    </w:p>
    <w:p w:rsidR="00C52836" w:rsidRDefault="00CE374F" w:rsidP="00C52836">
      <w:r>
        <w:t>När kommunen driver insamling i egen regi har kom</w:t>
      </w:r>
      <w:r>
        <w:t>munen arbetsgivaransvaret för hämtningspersonalen. Om kommunen anlitar entreprenör har kommun</w:t>
      </w:r>
      <w:r w:rsidRPr="00542261">
        <w:t xml:space="preserve">en har ett ansvar att se till att förutsättningarna </w:t>
      </w:r>
      <w:r>
        <w:t xml:space="preserve">för entreprenören och dennes personal </w:t>
      </w:r>
      <w:r w:rsidRPr="00542261">
        <w:t xml:space="preserve">blir så gynnsamma som möjligt. </w:t>
      </w:r>
      <w:r>
        <w:t>I en upphandling kan k</w:t>
      </w:r>
      <w:r w:rsidRPr="00542261">
        <w:t>ommunen ställa långt</w:t>
      </w:r>
      <w:r w:rsidRPr="00542261">
        <w:t>gående arbetsmiljökrav</w:t>
      </w:r>
      <w:r>
        <w:t xml:space="preserve">, </w:t>
      </w:r>
      <w:r w:rsidRPr="00542261">
        <w:t xml:space="preserve">som möjliggör för entreprenören att säkerställa en god arbetsmiljö. </w:t>
      </w:r>
    </w:p>
    <w:p w:rsidR="00C52836" w:rsidRDefault="00CE374F" w:rsidP="00C52836"/>
    <w:p w:rsidR="00C52836" w:rsidRPr="00400FC5" w:rsidRDefault="00CE374F" w:rsidP="00C52836">
      <w:r>
        <w:t>Kommunen ansvarar för regler för avfallshämtning genom avfallsföreskrifterna, som fastställs av kommunfullmäktige. De reglerar bl. a. fastighetsägarens ansvar, vi</w:t>
      </w:r>
      <w:r>
        <w:t xml:space="preserve">lken utrustning som får användas, transportvägar samt hur utrymmen ska utformas. Kommunen kan ålägga en fastighetsägare att vidta åtgärder för att förbättra hämtningen. </w:t>
      </w:r>
      <w:r w:rsidRPr="00542261">
        <w:t>Genom bra avfallsföreskrifter som tydliggör fastighetsinnehavarnas skyldigheter kan arb</w:t>
      </w:r>
      <w:r w:rsidRPr="00542261">
        <w:t>etet underlättas.</w:t>
      </w:r>
    </w:p>
    <w:p w:rsidR="00C52836" w:rsidRPr="005074EB" w:rsidRDefault="00CE374F" w:rsidP="00C52836">
      <w:pPr>
        <w:pStyle w:val="Rubrik2"/>
      </w:pPr>
      <w:r w:rsidRPr="005074EB">
        <w:t>Åtgärder vid bristfällig arbetsmiljö</w:t>
      </w:r>
    </w:p>
    <w:p w:rsidR="00C52836" w:rsidRDefault="00CE374F" w:rsidP="00C52836">
      <w:r w:rsidRPr="005074EB">
        <w:t xml:space="preserve">Om sophämtaren eller dennes arbetsgivare upptäcker </w:t>
      </w:r>
      <w:r>
        <w:t xml:space="preserve">sådana </w:t>
      </w:r>
      <w:r w:rsidRPr="005074EB">
        <w:t>brister i arbets</w:t>
      </w:r>
      <w:r>
        <w:t>miljön som fastighetsägaren</w:t>
      </w:r>
      <w:r w:rsidRPr="005074EB">
        <w:t xml:space="preserve"> råder över ska denne kontaktas</w:t>
      </w:r>
      <w:r>
        <w:t xml:space="preserve"> och informeras om situationen</w:t>
      </w:r>
      <w:r w:rsidRPr="005074EB">
        <w:t xml:space="preserve">. </w:t>
      </w:r>
      <w:r>
        <w:t>Kommunen/kommun</w:t>
      </w:r>
      <w:r w:rsidRPr="005A449C">
        <w:t>ens entreprenör föresl</w:t>
      </w:r>
      <w:r w:rsidRPr="005A449C">
        <w:t>år vilka åtgärder som är lämpliga att genomföra för att förbättra arbetsmiljön. Om fastighetsinnehavaren inte rättar sig efter de krav som ställs och om förhållandena är allvarliga kan sophämtarens skyddsombud stoppa hämtningen, s.k. skyddsstopp. Arbetsmil</w:t>
      </w:r>
      <w:r w:rsidRPr="005A449C">
        <w:t>jöverket kan då kallas in för att bedöma om arbetet ska återupptas eller inte.</w:t>
      </w:r>
      <w:r w:rsidRPr="005074EB">
        <w:t xml:space="preserve"> </w:t>
      </w:r>
    </w:p>
    <w:p w:rsidR="00C52836" w:rsidRDefault="00CE374F" w:rsidP="00C52836"/>
    <w:p w:rsidR="00C52836" w:rsidRDefault="00CE374F" w:rsidP="00C52836">
      <w:r w:rsidRPr="005074EB">
        <w:lastRenderedPageBreak/>
        <w:t>Arbetsmiljöverket kan också på eget initiativ, på begäran av skyddsombud eller efter önskemål från någon annan, inspektera förhållandena och meddela förelägganden eller förbud</w:t>
      </w:r>
      <w:r w:rsidRPr="005074EB">
        <w:t>.</w:t>
      </w:r>
      <w:r>
        <w:t xml:space="preserve"> Arbetsmiljöverket bör kontaktas för bedömning av arbetsmiljöfrågor av mer generell karaktär. De kan också hjälpa skyddsombudet i specifika bedömningar.</w:t>
      </w:r>
    </w:p>
    <w:p w:rsidR="00C52836" w:rsidRPr="005074EB" w:rsidRDefault="00CE374F" w:rsidP="00C52836"/>
    <w:p w:rsidR="00C52836" w:rsidRPr="005074EB" w:rsidRDefault="00CE374F" w:rsidP="00C52836">
      <w:r w:rsidRPr="005074EB">
        <w:t>Om inte parterna kommer överens bör förfaringssättet se ut enligt följande.</w:t>
      </w:r>
    </w:p>
    <w:p w:rsidR="00C52836" w:rsidRPr="005074EB" w:rsidRDefault="00CE374F" w:rsidP="00C52836"/>
    <w:p w:rsidR="00C52836" w:rsidRPr="005074EB" w:rsidRDefault="00CE374F" w:rsidP="00C52836">
      <w:pPr>
        <w:numPr>
          <w:ilvl w:val="0"/>
          <w:numId w:val="1"/>
        </w:numPr>
      </w:pPr>
      <w:r w:rsidRPr="005074EB">
        <w:t>Skriftligt meddelande ti</w:t>
      </w:r>
      <w:r w:rsidRPr="005074EB">
        <w:t xml:space="preserve">ll fastighetsägaren om vilka åtgärder som behöver vidtas. </w:t>
      </w:r>
      <w:r>
        <w:t>Om detta inte får avsedd effekt vidtar steg 2.</w:t>
      </w:r>
    </w:p>
    <w:p w:rsidR="00C52836" w:rsidRPr="005074EB" w:rsidRDefault="00CE374F" w:rsidP="00C52836">
      <w:pPr>
        <w:numPr>
          <w:ilvl w:val="0"/>
          <w:numId w:val="1"/>
        </w:numPr>
      </w:pPr>
      <w:r w:rsidRPr="005074EB">
        <w:t>Bedömning av skyddsombud med tidsbestämning då åtgärderna ska vara genomförda. Bedömningen delges fastighets</w:t>
      </w:r>
      <w:r>
        <w:t>ägare</w:t>
      </w:r>
      <w:r w:rsidRPr="005074EB">
        <w:t>n med kopia till kommunen.</w:t>
      </w:r>
      <w:r>
        <w:t xml:space="preserve"> Om åtgärder</w:t>
      </w:r>
      <w:r>
        <w:t xml:space="preserve"> inte genomförs följer steg 3.</w:t>
      </w:r>
    </w:p>
    <w:p w:rsidR="00C52836" w:rsidRPr="005074EB" w:rsidRDefault="00CE374F" w:rsidP="00C52836">
      <w:pPr>
        <w:numPr>
          <w:ilvl w:val="0"/>
          <w:numId w:val="1"/>
        </w:numPr>
      </w:pPr>
      <w:r w:rsidRPr="005074EB">
        <w:t>Stopp för hämtning</w:t>
      </w:r>
      <w:r>
        <w:t xml:space="preserve">. Hämtning kan utföras från </w:t>
      </w:r>
      <w:r w:rsidRPr="005074EB">
        <w:t>annan plats.</w:t>
      </w:r>
    </w:p>
    <w:p w:rsidR="00C52836" w:rsidRPr="002C2501" w:rsidRDefault="00CE374F" w:rsidP="00C52836"/>
    <w:p w:rsidR="00C52836" w:rsidRPr="007B266B" w:rsidRDefault="00CE374F" w:rsidP="00C52836">
      <w:r w:rsidRPr="007B266B">
        <w:t xml:space="preserve">Utöver de lagar som finns, framför allt arbetsmiljölagen, ska särskilda föreskrifter som Arbetsmiljöverket utfärdar följas. De viktigaste som berör avfallshantering </w:t>
      </w:r>
      <w:r w:rsidRPr="007B266B">
        <w:t xml:space="preserve">är AFS 1998:1, Belastningsergonomi och AFS 2000:1, Manuell hantering, men också AFS 2001:1, Systematiskt arbetsmiljöarbete och AFS 2000:42, Arbetsplatsens utformning, måste användas i det dagliga arbetet. </w:t>
      </w:r>
    </w:p>
    <w:p w:rsidR="00C52836" w:rsidRPr="007B266B" w:rsidRDefault="00CE374F" w:rsidP="00C52836"/>
    <w:p w:rsidR="00C52836" w:rsidRPr="007B266B" w:rsidRDefault="00CE374F" w:rsidP="00C52836">
      <w:r w:rsidRPr="007B266B">
        <w:t>Även om situationen har förbättrats tack vare int</w:t>
      </w:r>
      <w:r w:rsidRPr="007B266B">
        <w:t xml:space="preserve">ensivt arbete under senare år finns det fortfarande arbetsmiljöproblem som bör uppmärksammas. Här redovisas </w:t>
      </w:r>
      <w:r>
        <w:t xml:space="preserve">några av </w:t>
      </w:r>
      <w:r w:rsidRPr="007B266B">
        <w:t xml:space="preserve">de vanligaste </w:t>
      </w:r>
      <w:r>
        <w:t xml:space="preserve">problemen </w:t>
      </w:r>
      <w:r w:rsidRPr="007B266B">
        <w:t>och vad som kan göras åt dem.</w:t>
      </w:r>
    </w:p>
    <w:p w:rsidR="00C52836" w:rsidRDefault="00CE374F" w:rsidP="00C52836">
      <w:pPr>
        <w:pStyle w:val="Rubrik2"/>
      </w:pPr>
      <w:r w:rsidRPr="007B266B">
        <w:t>Stiga i och ur bil</w:t>
      </w:r>
    </w:p>
    <w:p w:rsidR="00C52836" w:rsidRDefault="00CE374F" w:rsidP="00C52836">
      <w:r>
        <w:t>En sophämtare stiger i och ur bilen många gånger per dag om hämtni</w:t>
      </w:r>
      <w:r>
        <w:t>ngen sker med baklastande sopbil. Det är påfrestande för knäna om förarhytten är högt placerad. Fordon med lågt insteg förbättrar situationen.</w:t>
      </w:r>
    </w:p>
    <w:p w:rsidR="00C52836" w:rsidRDefault="00CE374F" w:rsidP="00C52836">
      <w:pPr>
        <w:pStyle w:val="Rubrik2"/>
      </w:pPr>
      <w:r>
        <w:t>Ensidiga rörelser vid arbete med sidlastare</w:t>
      </w:r>
    </w:p>
    <w:p w:rsidR="00C52836" w:rsidRPr="009270EC" w:rsidRDefault="00CE374F" w:rsidP="00C52836">
      <w:r>
        <w:t>Sidlastning är bra på flera sätt, bl.a. slipper chauffören stiga i oc</w:t>
      </w:r>
      <w:r>
        <w:t xml:space="preserve">h ur bilen så ofta. Ensidigt arbete i förarhytten kan dock leda till spänning och värk i axlar och nacke. För att motverka det bör inte samma person köra sidlastare varje dag. </w:t>
      </w:r>
    </w:p>
    <w:p w:rsidR="00C52836" w:rsidRDefault="00CE374F" w:rsidP="00C52836">
      <w:pPr>
        <w:pStyle w:val="Rubrik2"/>
      </w:pPr>
      <w:r>
        <w:t>Containerhämtning, risk för klämskador</w:t>
      </w:r>
    </w:p>
    <w:p w:rsidR="00C52836" w:rsidRDefault="00CE374F" w:rsidP="00C52836">
      <w:r>
        <w:t>Containrar är mycket tunga och de kan va</w:t>
      </w:r>
      <w:r>
        <w:t>ra livsfarliga om någon människa kommer i kläm. Stor försiktighet måste iakttas när containrar hanteras och utrustningen måste uppfylla alla säkerhetskrav. Ytor där containrar hanteras bör inte ha någon lutning. Det senare kan förebyggas vid bygglovgivning</w:t>
      </w:r>
      <w:r>
        <w:t>en.</w:t>
      </w:r>
    </w:p>
    <w:p w:rsidR="00C52836" w:rsidRDefault="00CE374F" w:rsidP="00C52836">
      <w:pPr>
        <w:pStyle w:val="Rubrik2"/>
      </w:pPr>
      <w:r>
        <w:t>Tunga lyft</w:t>
      </w:r>
    </w:p>
    <w:p w:rsidR="00C52836" w:rsidRDefault="00CE374F" w:rsidP="00C52836">
      <w:r>
        <w:t>En tolkning av föreskrifterna om belastningsergonomi visar att upprepade lyft över 15 kg inte är acceptabla. Säckar som ska lyftas ska alltså inte väga mer än 15 kg. Villasäckar väger i medeltal under 15 kg men komprimerade säckar i karusell</w:t>
      </w:r>
      <w:r>
        <w:t>er väger ofta betydligt mer än 15 kg. Enstaka lyft över 25 kg kan ge akuta skador. Om sådana bördor måste lyftas ska de hanteras nära kroppen, med bördans tyngdpunkt inom underarms av</w:t>
      </w:r>
      <w:r w:rsidRPr="00542261">
        <w:t>stånd. Säckar ska dock aldrig hanteras nära kroppen eftersom de kan inneh</w:t>
      </w:r>
      <w:r w:rsidRPr="00542261">
        <w:t xml:space="preserve">ålla föremål som kan skada den som bär säcken. Även hänsyn till andra faktorer kan behöva tas vid tunga bördor, t.ex. greppbarhet, </w:t>
      </w:r>
      <w:r w:rsidRPr="00542261">
        <w:lastRenderedPageBreak/>
        <w:t>lyfthöjder m.m. Sådana ly</w:t>
      </w:r>
      <w:r>
        <w:t>ft kan förekomma vid hämtning av grovavfall, elavfall m.m. och lämpliga lyfthjälpmedel ska alltid an</w:t>
      </w:r>
      <w:r>
        <w:t xml:space="preserve">vändas. </w:t>
      </w:r>
    </w:p>
    <w:p w:rsidR="00C52836" w:rsidRDefault="00CE374F" w:rsidP="00C52836"/>
    <w:p w:rsidR="00C52836" w:rsidRDefault="00CE374F" w:rsidP="00C52836">
      <w:r>
        <w:t>Modell för bedömning av lyft hämtat ur AFS 1998:1:</w:t>
      </w:r>
    </w:p>
    <w:p w:rsidR="00C52836" w:rsidRDefault="00CE374F" w:rsidP="00C52836"/>
    <w:tbl>
      <w:tblPr>
        <w:tblStyle w:val="Tabellrutnt"/>
        <w:tblW w:w="5000" w:type="pct"/>
        <w:tblLook w:val="01E0"/>
      </w:tblPr>
      <w:tblGrid>
        <w:gridCol w:w="2809"/>
        <w:gridCol w:w="3059"/>
        <w:gridCol w:w="3420"/>
      </w:tblGrid>
      <w:tr w:rsidR="00C52836">
        <w:tc>
          <w:tcPr>
            <w:tcW w:w="1512" w:type="pct"/>
          </w:tcPr>
          <w:p w:rsidR="00C52836" w:rsidRPr="00B07E34" w:rsidRDefault="00CE374F" w:rsidP="00C52836">
            <w:pPr>
              <w:rPr>
                <w:b/>
              </w:rPr>
            </w:pPr>
            <w:r w:rsidRPr="00B07E34">
              <w:rPr>
                <w:b/>
              </w:rPr>
              <w:t>Avstånd från ländryggen</w:t>
            </w:r>
          </w:p>
        </w:tc>
        <w:tc>
          <w:tcPr>
            <w:tcW w:w="1647" w:type="pct"/>
            <w:tcBorders>
              <w:bottom w:val="single" w:sz="4" w:space="0" w:color="auto"/>
            </w:tcBorders>
          </w:tcPr>
          <w:p w:rsidR="00C52836" w:rsidRPr="00B07E34" w:rsidRDefault="00CE374F" w:rsidP="00C52836">
            <w:pPr>
              <w:rPr>
                <w:b/>
              </w:rPr>
            </w:pPr>
            <w:r w:rsidRPr="00B07E34">
              <w:rPr>
                <w:b/>
              </w:rPr>
              <w:t xml:space="preserve">Inom underarms avstånd, </w:t>
            </w:r>
          </w:p>
          <w:p w:rsidR="00C52836" w:rsidRPr="00B07E34" w:rsidRDefault="00CE374F" w:rsidP="00C52836">
            <w:pPr>
              <w:rPr>
                <w:b/>
              </w:rPr>
            </w:pPr>
            <w:r w:rsidRPr="00B07E34">
              <w:rPr>
                <w:b/>
              </w:rPr>
              <w:t>ca 30 cm</w:t>
            </w:r>
          </w:p>
        </w:tc>
        <w:tc>
          <w:tcPr>
            <w:tcW w:w="1841" w:type="pct"/>
            <w:tcBorders>
              <w:bottom w:val="single" w:sz="4" w:space="0" w:color="auto"/>
            </w:tcBorders>
          </w:tcPr>
          <w:p w:rsidR="00C52836" w:rsidRPr="00B07E34" w:rsidRDefault="00CE374F" w:rsidP="00C52836">
            <w:pPr>
              <w:rPr>
                <w:b/>
              </w:rPr>
            </w:pPr>
            <w:r w:rsidRPr="00B07E34">
              <w:rPr>
                <w:b/>
              </w:rPr>
              <w:t>Inom trekvarts armavstånd,</w:t>
            </w:r>
          </w:p>
          <w:p w:rsidR="00C52836" w:rsidRPr="00B07E34" w:rsidRDefault="00CE374F" w:rsidP="00C52836">
            <w:pPr>
              <w:rPr>
                <w:b/>
              </w:rPr>
            </w:pPr>
            <w:r w:rsidRPr="00B07E34">
              <w:rPr>
                <w:b/>
              </w:rPr>
              <w:t>ca 45 cm</w:t>
            </w:r>
          </w:p>
        </w:tc>
      </w:tr>
      <w:tr w:rsidR="00C52836">
        <w:tc>
          <w:tcPr>
            <w:tcW w:w="1512" w:type="pct"/>
          </w:tcPr>
          <w:p w:rsidR="00C52836" w:rsidRDefault="00CE374F" w:rsidP="00C52836">
            <w:r>
              <w:t xml:space="preserve">Bördans </w:t>
            </w:r>
            <w:proofErr w:type="gramStart"/>
            <w:r>
              <w:t>vikt:    över</w:t>
            </w:r>
            <w:proofErr w:type="gramEnd"/>
            <w:r>
              <w:t xml:space="preserve"> 25 kg </w:t>
            </w:r>
          </w:p>
        </w:tc>
        <w:tc>
          <w:tcPr>
            <w:tcW w:w="1647" w:type="pct"/>
            <w:tcBorders>
              <w:bottom w:val="single" w:sz="4" w:space="0" w:color="auto"/>
            </w:tcBorders>
            <w:shd w:val="clear" w:color="auto" w:fill="FF0000"/>
          </w:tcPr>
          <w:p w:rsidR="00C52836" w:rsidRPr="00F5564D" w:rsidRDefault="00CE374F" w:rsidP="00C52836">
            <w:pPr>
              <w:rPr>
                <w:highlight w:val="red"/>
              </w:rPr>
            </w:pPr>
            <w:r w:rsidRPr="00F5564D">
              <w:t xml:space="preserve">                                                 </w:t>
            </w:r>
          </w:p>
        </w:tc>
        <w:tc>
          <w:tcPr>
            <w:tcW w:w="1841" w:type="pct"/>
            <w:shd w:val="clear" w:color="auto" w:fill="FF0000"/>
          </w:tcPr>
          <w:p w:rsidR="00C52836" w:rsidRPr="00647CB1" w:rsidRDefault="00CE374F" w:rsidP="00C52836">
            <w:pPr>
              <w:rPr>
                <w:highlight w:val="red"/>
              </w:rPr>
            </w:pPr>
          </w:p>
        </w:tc>
      </w:tr>
      <w:tr w:rsidR="00C52836">
        <w:tc>
          <w:tcPr>
            <w:tcW w:w="1512" w:type="pct"/>
          </w:tcPr>
          <w:p w:rsidR="00C52836" w:rsidRDefault="00CE374F" w:rsidP="00C52836">
            <w:pPr>
              <w:jc w:val="right"/>
            </w:pPr>
            <w:r>
              <w:t>upp till 25 kg</w:t>
            </w:r>
          </w:p>
        </w:tc>
        <w:tc>
          <w:tcPr>
            <w:tcW w:w="1647" w:type="pct"/>
            <w:shd w:val="clear" w:color="auto" w:fill="FFFF00"/>
          </w:tcPr>
          <w:p w:rsidR="00C52836" w:rsidRDefault="00CE374F" w:rsidP="00C52836"/>
        </w:tc>
        <w:tc>
          <w:tcPr>
            <w:tcW w:w="1841" w:type="pct"/>
            <w:tcBorders>
              <w:bottom w:val="single" w:sz="4" w:space="0" w:color="auto"/>
            </w:tcBorders>
            <w:shd w:val="clear" w:color="auto" w:fill="FF0000"/>
          </w:tcPr>
          <w:p w:rsidR="00C52836" w:rsidRPr="00647CB1" w:rsidRDefault="00CE374F" w:rsidP="00C52836">
            <w:pPr>
              <w:rPr>
                <w:highlight w:val="red"/>
              </w:rPr>
            </w:pPr>
          </w:p>
        </w:tc>
      </w:tr>
      <w:tr w:rsidR="00C52836">
        <w:tc>
          <w:tcPr>
            <w:tcW w:w="1512" w:type="pct"/>
          </w:tcPr>
          <w:p w:rsidR="00C52836" w:rsidRDefault="00CE374F" w:rsidP="00C52836">
            <w:pPr>
              <w:tabs>
                <w:tab w:val="left" w:pos="2030"/>
                <w:tab w:val="right" w:pos="2878"/>
              </w:tabs>
              <w:jc w:val="right"/>
            </w:pPr>
            <w:r>
              <w:t xml:space="preserve">upp till 15 kg  </w:t>
            </w:r>
          </w:p>
        </w:tc>
        <w:tc>
          <w:tcPr>
            <w:tcW w:w="1647" w:type="pct"/>
            <w:tcBorders>
              <w:bottom w:val="single" w:sz="4" w:space="0" w:color="auto"/>
            </w:tcBorders>
            <w:shd w:val="clear" w:color="auto" w:fill="FFFF00"/>
          </w:tcPr>
          <w:p w:rsidR="00C52836" w:rsidRDefault="00CE374F" w:rsidP="00C52836"/>
        </w:tc>
        <w:tc>
          <w:tcPr>
            <w:tcW w:w="1841" w:type="pct"/>
            <w:shd w:val="clear" w:color="auto" w:fill="FFFF00"/>
          </w:tcPr>
          <w:p w:rsidR="00C52836" w:rsidRDefault="00CE374F" w:rsidP="00C52836"/>
        </w:tc>
      </w:tr>
      <w:tr w:rsidR="00C52836">
        <w:tc>
          <w:tcPr>
            <w:tcW w:w="1512" w:type="pct"/>
          </w:tcPr>
          <w:p w:rsidR="00C52836" w:rsidRDefault="00CE374F" w:rsidP="00C52836">
            <w:pPr>
              <w:jc w:val="right"/>
            </w:pPr>
            <w:r>
              <w:t xml:space="preserve">upp till 7 kg </w:t>
            </w:r>
          </w:p>
        </w:tc>
        <w:tc>
          <w:tcPr>
            <w:tcW w:w="1647" w:type="pct"/>
            <w:shd w:val="clear" w:color="auto" w:fill="00FF00"/>
          </w:tcPr>
          <w:p w:rsidR="00C52836" w:rsidRDefault="00CE374F" w:rsidP="00C52836"/>
        </w:tc>
        <w:tc>
          <w:tcPr>
            <w:tcW w:w="1841" w:type="pct"/>
            <w:tcBorders>
              <w:bottom w:val="single" w:sz="4" w:space="0" w:color="auto"/>
            </w:tcBorders>
            <w:shd w:val="clear" w:color="auto" w:fill="FFFF00"/>
          </w:tcPr>
          <w:p w:rsidR="00C52836" w:rsidRDefault="00CE374F" w:rsidP="00C52836"/>
        </w:tc>
      </w:tr>
      <w:tr w:rsidR="00C52836">
        <w:tc>
          <w:tcPr>
            <w:tcW w:w="1512" w:type="pct"/>
          </w:tcPr>
          <w:p w:rsidR="00C52836" w:rsidRDefault="00CE374F" w:rsidP="00C52836">
            <w:pPr>
              <w:jc w:val="right"/>
            </w:pPr>
            <w:r>
              <w:t>upp till 3 kg</w:t>
            </w:r>
          </w:p>
        </w:tc>
        <w:tc>
          <w:tcPr>
            <w:tcW w:w="1647" w:type="pct"/>
            <w:shd w:val="clear" w:color="auto" w:fill="00FF00"/>
          </w:tcPr>
          <w:p w:rsidR="00C52836" w:rsidRDefault="00CE374F" w:rsidP="00C52836"/>
        </w:tc>
        <w:tc>
          <w:tcPr>
            <w:tcW w:w="1841" w:type="pct"/>
            <w:shd w:val="clear" w:color="auto" w:fill="00FF00"/>
          </w:tcPr>
          <w:p w:rsidR="00C52836" w:rsidRDefault="00CE374F" w:rsidP="00C52836"/>
        </w:tc>
      </w:tr>
    </w:tbl>
    <w:p w:rsidR="00C52836" w:rsidRDefault="00CE374F" w:rsidP="00C52836">
      <w:r w:rsidRPr="00E731D5">
        <w:rPr>
          <w:highlight w:val="red"/>
        </w:rPr>
        <w:t>Rött</w:t>
      </w:r>
      <w:r>
        <w:t xml:space="preserve"> = olämpligt </w:t>
      </w:r>
      <w:r>
        <w:tab/>
      </w:r>
      <w:r w:rsidRPr="00433934">
        <w:rPr>
          <w:highlight w:val="yellow"/>
        </w:rPr>
        <w:t>Gult</w:t>
      </w:r>
      <w:r>
        <w:t xml:space="preserve"> = värdera närmare</w:t>
      </w:r>
      <w:r>
        <w:tab/>
      </w:r>
      <w:r>
        <w:tab/>
      </w:r>
      <w:r w:rsidRPr="00635FD4">
        <w:rPr>
          <w:highlight w:val="green"/>
        </w:rPr>
        <w:t>Grönt</w:t>
      </w:r>
      <w:r>
        <w:t xml:space="preserve"> = acceptabelt</w:t>
      </w:r>
      <w:r>
        <w:tab/>
      </w:r>
    </w:p>
    <w:p w:rsidR="00C52836" w:rsidRDefault="00CE374F" w:rsidP="00C52836">
      <w:pPr>
        <w:pStyle w:val="Rubrik2"/>
      </w:pPr>
      <w:r>
        <w:t>Skjuta/dra kärl</w:t>
      </w:r>
    </w:p>
    <w:p w:rsidR="00C52836" w:rsidRDefault="00CE374F" w:rsidP="00C52836">
      <w:r>
        <w:t>I föreskrifterna om belastningsergonomi finns också uppgifter för bedömning av skjuta-och-dra-arbete som ska tillämpas vid</w:t>
      </w:r>
      <w:r>
        <w:t xml:space="preserve"> hantering av kärl. För att bedöma om hämtningen är acceptabel kan kraften mätas med dynamometer, enheten är Newton (N). Skilj på igångsättnin</w:t>
      </w:r>
      <w:r w:rsidRPr="005A449C">
        <w:t>g och kontinuerlig förflyttning.</w:t>
      </w:r>
      <w:r>
        <w:t xml:space="preserve"> </w:t>
      </w:r>
    </w:p>
    <w:p w:rsidR="00C52836" w:rsidRDefault="00CE374F" w:rsidP="00C52836"/>
    <w:p w:rsidR="00C52836" w:rsidRDefault="00CE374F" w:rsidP="00C52836">
      <w:r>
        <w:t>Modell för bedömning av skjuta-och-dra-arbete hämtat ur AFS 1998:1:</w:t>
      </w:r>
    </w:p>
    <w:p w:rsidR="00C52836" w:rsidRDefault="00CE374F" w:rsidP="00C52836"/>
    <w:tbl>
      <w:tblPr>
        <w:tblStyle w:val="Tabellrutnt"/>
        <w:tblW w:w="5000" w:type="pct"/>
        <w:tblLook w:val="01E0"/>
      </w:tblPr>
      <w:tblGrid>
        <w:gridCol w:w="2322"/>
        <w:gridCol w:w="2322"/>
        <w:gridCol w:w="2322"/>
        <w:gridCol w:w="2322"/>
      </w:tblGrid>
      <w:tr w:rsidR="00C52836">
        <w:tc>
          <w:tcPr>
            <w:tcW w:w="1250" w:type="pct"/>
          </w:tcPr>
          <w:p w:rsidR="00C52836" w:rsidRDefault="00CE374F" w:rsidP="00C52836">
            <w:r>
              <w:t>Kraft (N)</w:t>
            </w:r>
          </w:p>
        </w:tc>
        <w:tc>
          <w:tcPr>
            <w:tcW w:w="1250" w:type="pct"/>
            <w:shd w:val="clear" w:color="auto" w:fill="FF0000"/>
          </w:tcPr>
          <w:p w:rsidR="00C52836" w:rsidRDefault="00CE374F" w:rsidP="00C52836"/>
        </w:tc>
        <w:tc>
          <w:tcPr>
            <w:tcW w:w="1250" w:type="pct"/>
            <w:shd w:val="clear" w:color="auto" w:fill="FFFF00"/>
          </w:tcPr>
          <w:p w:rsidR="00C52836" w:rsidRDefault="00CE374F" w:rsidP="00C52836"/>
        </w:tc>
        <w:tc>
          <w:tcPr>
            <w:tcW w:w="1250" w:type="pct"/>
            <w:shd w:val="clear" w:color="auto" w:fill="00FF00"/>
          </w:tcPr>
          <w:p w:rsidR="00C52836" w:rsidRDefault="00CE374F" w:rsidP="00C52836"/>
        </w:tc>
      </w:tr>
      <w:tr w:rsidR="00C52836">
        <w:tc>
          <w:tcPr>
            <w:tcW w:w="1250" w:type="pct"/>
          </w:tcPr>
          <w:p w:rsidR="00C52836" w:rsidRDefault="00CE374F" w:rsidP="00C52836">
            <w:r>
              <w:t>Igångsättning</w:t>
            </w:r>
          </w:p>
        </w:tc>
        <w:tc>
          <w:tcPr>
            <w:tcW w:w="1250" w:type="pct"/>
          </w:tcPr>
          <w:p w:rsidR="00C52836" w:rsidRDefault="00CE374F" w:rsidP="00C52836">
            <w:pPr>
              <w:jc w:val="center"/>
            </w:pPr>
            <w:r>
              <w:t>&gt; 300</w:t>
            </w:r>
          </w:p>
        </w:tc>
        <w:tc>
          <w:tcPr>
            <w:tcW w:w="1250" w:type="pct"/>
          </w:tcPr>
          <w:p w:rsidR="00C52836" w:rsidRDefault="00CE374F" w:rsidP="00C52836">
            <w:pPr>
              <w:jc w:val="center"/>
            </w:pPr>
            <w:r>
              <w:t>300 – 150</w:t>
            </w:r>
          </w:p>
        </w:tc>
        <w:tc>
          <w:tcPr>
            <w:tcW w:w="1250" w:type="pct"/>
          </w:tcPr>
          <w:p w:rsidR="00C52836" w:rsidRDefault="00CE374F" w:rsidP="00C52836">
            <w:pPr>
              <w:jc w:val="center"/>
            </w:pPr>
            <w:r>
              <w:t>&lt; 150</w:t>
            </w:r>
          </w:p>
        </w:tc>
      </w:tr>
      <w:tr w:rsidR="00C52836">
        <w:tc>
          <w:tcPr>
            <w:tcW w:w="1250" w:type="pct"/>
          </w:tcPr>
          <w:p w:rsidR="00C52836" w:rsidRDefault="00CE374F" w:rsidP="00C52836">
            <w:r>
              <w:t>Kontinuerligt</w:t>
            </w:r>
          </w:p>
        </w:tc>
        <w:tc>
          <w:tcPr>
            <w:tcW w:w="1250" w:type="pct"/>
          </w:tcPr>
          <w:p w:rsidR="00C52836" w:rsidRDefault="00CE374F" w:rsidP="00C52836">
            <w:pPr>
              <w:jc w:val="center"/>
            </w:pPr>
            <w:r>
              <w:t>&gt; 200</w:t>
            </w:r>
          </w:p>
        </w:tc>
        <w:tc>
          <w:tcPr>
            <w:tcW w:w="1250" w:type="pct"/>
          </w:tcPr>
          <w:p w:rsidR="00C52836" w:rsidRDefault="00CE374F" w:rsidP="00C52836">
            <w:pPr>
              <w:jc w:val="center"/>
            </w:pPr>
            <w:r>
              <w:t>200 – 100</w:t>
            </w:r>
          </w:p>
        </w:tc>
        <w:tc>
          <w:tcPr>
            <w:tcW w:w="1250" w:type="pct"/>
          </w:tcPr>
          <w:p w:rsidR="00C52836" w:rsidRDefault="00CE374F" w:rsidP="00C52836">
            <w:pPr>
              <w:jc w:val="center"/>
            </w:pPr>
            <w:r>
              <w:t>&lt; 100</w:t>
            </w:r>
          </w:p>
        </w:tc>
      </w:tr>
    </w:tbl>
    <w:p w:rsidR="00C52836" w:rsidRDefault="00CE374F" w:rsidP="00C52836">
      <w:r w:rsidRPr="00E731D5">
        <w:rPr>
          <w:highlight w:val="red"/>
        </w:rPr>
        <w:t>Rött</w:t>
      </w:r>
      <w:r>
        <w:t xml:space="preserve"> = olämpligt </w:t>
      </w:r>
      <w:r>
        <w:tab/>
      </w:r>
      <w:r w:rsidRPr="00433934">
        <w:rPr>
          <w:highlight w:val="yellow"/>
        </w:rPr>
        <w:t>Gult</w:t>
      </w:r>
      <w:r>
        <w:t xml:space="preserve"> = värdera närmare</w:t>
      </w:r>
      <w:r>
        <w:tab/>
      </w:r>
      <w:r>
        <w:tab/>
      </w:r>
      <w:r w:rsidRPr="00635FD4">
        <w:rPr>
          <w:highlight w:val="green"/>
        </w:rPr>
        <w:t>Grönt</w:t>
      </w:r>
      <w:r>
        <w:t xml:space="preserve"> = acceptabelt</w:t>
      </w:r>
    </w:p>
    <w:p w:rsidR="00C52836" w:rsidRDefault="00CE374F" w:rsidP="00C52836"/>
    <w:p w:rsidR="00C52836" w:rsidRDefault="00CE374F" w:rsidP="00C52836">
      <w:r>
        <w:t>Modellen avser bra ergonomiska förhållanden, d.v.s. symmetriskt tvåhandsgrepp, väl utformade handtag placerade i lä</w:t>
      </w:r>
      <w:r>
        <w:t>mplig höjd och jämnt underlag, förhållanden som inte alltid gäller vid kärlhämtning. Tungt avfall bör bara hanteras i mindre kärl eller i kärl som har tre eller fyra hjul. T.ex. kan tvåhjuliga 370 l kärl förses med ett extra, tredje hjul.</w:t>
      </w:r>
    </w:p>
    <w:p w:rsidR="00C52836" w:rsidRDefault="00CE374F" w:rsidP="00C52836">
      <w:pPr>
        <w:pStyle w:val="Rubrik2"/>
      </w:pPr>
      <w:r>
        <w:t>Lukt, flugor</w:t>
      </w:r>
    </w:p>
    <w:p w:rsidR="00C52836" w:rsidRDefault="00CE374F" w:rsidP="00C52836">
      <w:r>
        <w:t>Avfa</w:t>
      </w:r>
      <w:r>
        <w:t>ll som innehåller matrester eller annat som kan ruttna börjar lukta efter en tid. Ju varmare förvaring desto snabbare sker nedbrytningsprocesser som ger upphov till lukt. Flugor och andra djur kan känna lukt på långt avstånd och söker sig till avfallet. Lu</w:t>
      </w:r>
      <w:r>
        <w:t>kt och flugor kan vara besvärande för hämtningspersonalen. Det kan avhjälpas genom att förvaring sker vid så låg temperatur som möjligt, så kort tid som mjöligt och genom aktiv flugbekämpning i a</w:t>
      </w:r>
      <w:r w:rsidRPr="005A449C">
        <w:t xml:space="preserve">vfallsutrymmen, t.ex. ”flugremsor”. God hygien och rengöring </w:t>
      </w:r>
      <w:r w:rsidRPr="005A449C">
        <w:t>är också mycket viktig. Smutsiga behållare kan medföra olägenheter även när de är tomma och illaluktande nedbrytningsprocesser kan starta snabbare när de fylls med avfall.</w:t>
      </w:r>
    </w:p>
    <w:p w:rsidR="00C52836" w:rsidRDefault="00CE374F" w:rsidP="00C52836">
      <w:pPr>
        <w:pStyle w:val="Rubrik2"/>
      </w:pPr>
      <w:r>
        <w:t>Risk för smittspridning, särskilt vid insamling av matavfall</w:t>
      </w:r>
    </w:p>
    <w:p w:rsidR="00C52836" w:rsidRPr="00C11A21" w:rsidRDefault="00CE374F" w:rsidP="00C52836">
      <w:r>
        <w:t>Kärl- och säckavfall ka</w:t>
      </w:r>
      <w:r>
        <w:t xml:space="preserve">n innehålla smittämnen som sophämtaren utsätts för vid hämtningen. </w:t>
      </w:r>
      <w:r w:rsidRPr="002C4A47">
        <w:t>Forskning om riskerna pågår.</w:t>
      </w:r>
      <w:r>
        <w:t xml:space="preserve"> Det som hittills framkommit visar att riskerna inte är större vid insamling av rent matavfall än vid insamling av blandat hushållsavfall. </w:t>
      </w:r>
    </w:p>
    <w:p w:rsidR="00C52836" w:rsidRPr="00542261" w:rsidRDefault="00CE374F" w:rsidP="00C52836">
      <w:pPr>
        <w:pStyle w:val="Rubrik2"/>
      </w:pPr>
      <w:r w:rsidRPr="00542261">
        <w:lastRenderedPageBreak/>
        <w:t xml:space="preserve">Latrinhämtning </w:t>
      </w:r>
    </w:p>
    <w:p w:rsidR="00C52836" w:rsidRPr="002C4A47" w:rsidRDefault="00CE374F" w:rsidP="00C52836">
      <w:r w:rsidRPr="00542261">
        <w:t>Hämtn</w:t>
      </w:r>
      <w:r w:rsidRPr="00542261">
        <w:t xml:space="preserve">ing av latrin kan vara både tungt och otrevligt. Latrinkärl bör vara placerade vid farbar väg där fordon kan stanna och </w:t>
      </w:r>
      <w:r>
        <w:t xml:space="preserve">kärlen bör </w:t>
      </w:r>
      <w:r w:rsidRPr="00542261">
        <w:t xml:space="preserve">inte hämtas i toalettutrymme. Lyfthjälpmedel ska kunna användas. </w:t>
      </w:r>
    </w:p>
    <w:p w:rsidR="00C52836" w:rsidRPr="002C4A47" w:rsidRDefault="00CE374F" w:rsidP="00C52836">
      <w:pPr>
        <w:pStyle w:val="Rubrik2"/>
      </w:pPr>
      <w:r w:rsidRPr="002C4A47">
        <w:t>Hämtning av slam</w:t>
      </w:r>
    </w:p>
    <w:p w:rsidR="00C52836" w:rsidRPr="00542261" w:rsidRDefault="00CE374F" w:rsidP="00C52836">
      <w:r w:rsidRPr="002C4A47">
        <w:t>Vid insamling av slam och fettavfall bör s</w:t>
      </w:r>
      <w:r w:rsidRPr="002C4A47">
        <w:t>ärskilt beaktas att slangd</w:t>
      </w:r>
      <w:r w:rsidRPr="00542261">
        <w:t xml:space="preserve">ragning kan bli för påfrestande om vägen mellan fordonets uppställningsplats och slambrunnen el. dyl. är lång, trång, ojämn och har höjdskillnader. Lock och manluckor måste </w:t>
      </w:r>
      <w:r>
        <w:t xml:space="preserve">enkelt </w:t>
      </w:r>
      <w:r w:rsidRPr="00542261">
        <w:t>kunna hanteras</w:t>
      </w:r>
      <w:r>
        <w:t xml:space="preserve"> och de får därför inte vara för tun</w:t>
      </w:r>
      <w:r>
        <w:t>ga</w:t>
      </w:r>
      <w:r w:rsidRPr="00542261">
        <w:t>.</w:t>
      </w:r>
    </w:p>
    <w:p w:rsidR="00C52836" w:rsidRDefault="00CE374F" w:rsidP="00C52836">
      <w:pPr>
        <w:pStyle w:val="Rubrik2"/>
      </w:pPr>
      <w:r>
        <w:t>Snö och halka</w:t>
      </w:r>
    </w:p>
    <w:p w:rsidR="00C52836" w:rsidRDefault="00CE374F" w:rsidP="00C52836">
      <w:r>
        <w:t>Arbetsförhållandena vid sophämtning blir extra besvärliga när det är vinter. Vid stora snömängder kan sophämtaren behöva pulsa i snö, kliva i snövallar eller hantera kärl som är insnöade. Även om kommunen ställer krav på att fastighetsäga</w:t>
      </w:r>
      <w:r>
        <w:t xml:space="preserve">ren ska skotta och sanda, och kärlen ska vara fria från snö, så fungerar det inte alltid i praktiken. Snön faller inte alltid vid rätt tidpunkt, när fastighetsägaren är på plats för att skotta. </w:t>
      </w:r>
    </w:p>
    <w:p w:rsidR="00C52836" w:rsidRDefault="00CE374F" w:rsidP="00C52836"/>
    <w:p w:rsidR="00C52836" w:rsidRPr="00DB376A" w:rsidRDefault="00CE374F" w:rsidP="00C52836">
      <w:r w:rsidRPr="002C4A47">
        <w:t>Viktigt förebyggande arbete är att kommunen i sina avfallsfö</w:t>
      </w:r>
      <w:r w:rsidRPr="002C4A47">
        <w:t>reskrifter ställer krav på korta drag- och gångvägar och att det vid detaljplan</w:t>
      </w:r>
      <w:r w:rsidRPr="00DB376A">
        <w:t>ering och bygglovgivning beakta</w:t>
      </w:r>
      <w:r w:rsidRPr="00F24686">
        <w:rPr>
          <w:color w:val="0000FF"/>
        </w:rPr>
        <w:t xml:space="preserve">s </w:t>
      </w:r>
      <w:r w:rsidRPr="00DB376A">
        <w:t xml:space="preserve">att sophämtningen måste fungera på vintern. </w:t>
      </w:r>
    </w:p>
    <w:p w:rsidR="00C52836" w:rsidRPr="00DB376A" w:rsidRDefault="00CE374F" w:rsidP="00C52836">
      <w:pPr>
        <w:pStyle w:val="Rubrik2"/>
      </w:pPr>
      <w:r w:rsidRPr="00DB376A">
        <w:t xml:space="preserve">Båthämtning </w:t>
      </w:r>
    </w:p>
    <w:p w:rsidR="00C52836" w:rsidRPr="00DB376A" w:rsidRDefault="00CE374F" w:rsidP="00C52836">
      <w:r>
        <w:t>A</w:t>
      </w:r>
      <w:r w:rsidRPr="00DB376A">
        <w:t>vfallshämtning från öar kan bli problematisk om inte bryggor och båtar passar ihop. L</w:t>
      </w:r>
      <w:r w:rsidRPr="00DB376A">
        <w:t xml:space="preserve">yft av säckar och latrinkärl från båt accepteras inte, all hämtning ska kunna utföras med kärra eller lyfthjälpmedel. </w:t>
      </w:r>
    </w:p>
    <w:p w:rsidR="00C52836" w:rsidRDefault="00CE374F" w:rsidP="00C52836">
      <w:pPr>
        <w:pStyle w:val="Rubrik2"/>
      </w:pPr>
      <w:r>
        <w:t xml:space="preserve">Trafik </w:t>
      </w:r>
    </w:p>
    <w:p w:rsidR="00C52836" w:rsidRPr="00397B1D" w:rsidRDefault="00CE374F" w:rsidP="00C52836">
      <w:r>
        <w:t>Eftersom avfallshämtning är en transporttjänst pågår en stor del av arbetet på vägen. Vägen är en farlig arbetsplats med många ar</w:t>
      </w:r>
      <w:r>
        <w:t>betsolyckor. Ju säkrare vägar desto mindre problem uppkommer vid avfallshämtningen. Backning måste uppmärksammas särskilt och ska bara användas för att vända fordon. Det ska då ske på särskilda vändplatser.</w:t>
      </w:r>
    </w:p>
    <w:p w:rsidR="00C52836" w:rsidRDefault="00CE374F" w:rsidP="00C52836">
      <w:pPr>
        <w:pStyle w:val="Rubrik2"/>
      </w:pPr>
      <w:r>
        <w:t xml:space="preserve">Stress </w:t>
      </w:r>
    </w:p>
    <w:p w:rsidR="00C52836" w:rsidRDefault="00CE374F" w:rsidP="00C52836">
      <w:r>
        <w:t>Dåliga hämtningsförhållanden, svåra trafi</w:t>
      </w:r>
      <w:r>
        <w:t>ksituationer, otrevliga kunder och besvärliga lyft kan leda till stress. Kommunen kan medverka genom att ge bra information till planerare och fastighetsinnehavare.</w:t>
      </w:r>
    </w:p>
    <w:p w:rsidR="00C52836" w:rsidRPr="002C4A47" w:rsidRDefault="00CE374F" w:rsidP="00C52836">
      <w:pPr>
        <w:pStyle w:val="Rubrik2"/>
      </w:pPr>
      <w:r w:rsidRPr="002C4A47">
        <w:t>Mer information</w:t>
      </w:r>
    </w:p>
    <w:p w:rsidR="00C52836" w:rsidRPr="008922D0" w:rsidRDefault="00CE374F" w:rsidP="00C52836">
      <w:r w:rsidRPr="002C4A47">
        <w:t>Mer information om arbetsmiljö kan framför allt hämtas från Arbet</w:t>
      </w:r>
      <w:r>
        <w:t>smiljöverk</w:t>
      </w:r>
      <w:r>
        <w:t xml:space="preserve">et, </w:t>
      </w:r>
      <w:hyperlink r:id="rId7" w:history="1">
        <w:r w:rsidRPr="00A30B7A">
          <w:rPr>
            <w:rStyle w:val="Hyperlnk"/>
          </w:rPr>
          <w:t>www.av.se</w:t>
        </w:r>
      </w:hyperlink>
      <w:r>
        <w:t xml:space="preserve">. </w:t>
      </w:r>
    </w:p>
    <w:p w:rsidR="00C52836" w:rsidRDefault="00CE374F" w:rsidP="00C52836"/>
    <w:p w:rsidR="00C52836" w:rsidRDefault="00CE374F" w:rsidP="00C52836"/>
    <w:sectPr w:rsidR="00C52836">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836" w:rsidRDefault="00CE374F">
      <w:r>
        <w:separator/>
      </w:r>
    </w:p>
  </w:endnote>
  <w:endnote w:type="continuationSeparator" w:id="0">
    <w:p w:rsidR="00C52836" w:rsidRDefault="00CE3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36" w:rsidRDefault="00CE374F" w:rsidP="00C5283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C52836" w:rsidRDefault="00CE374F" w:rsidP="00C52836">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36" w:rsidRDefault="00CE374F" w:rsidP="00C5283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rsidR="00C52836" w:rsidRDefault="00CE374F" w:rsidP="00C52836">
    <w:pPr>
      <w:pStyle w:val="Sidfo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836" w:rsidRDefault="00CE374F">
      <w:r>
        <w:separator/>
      </w:r>
    </w:p>
  </w:footnote>
  <w:footnote w:type="continuationSeparator" w:id="0">
    <w:p w:rsidR="00C52836" w:rsidRDefault="00CE3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836" w:rsidRDefault="00CE374F" w:rsidP="00C52836">
    <w:pPr>
      <w:pStyle w:val="Sidhuvud"/>
      <w:jc w:val="right"/>
    </w:pPr>
    <w:r>
      <w:t xml:space="preserve">Fördjupningstext om arbetsmiljö </w:t>
    </w:r>
    <w:r>
      <w:tab/>
    </w:r>
    <w:r>
      <w:tab/>
      <w:t xml:space="preserve">Bilaga 6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21421"/>
    <w:multiLevelType w:val="hybridMultilevel"/>
    <w:tmpl w:val="D8142B0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1304"/>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0D75"/>
    <w:rsid w:val="00CE374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5"/>
    <w:rPr>
      <w:sz w:val="24"/>
      <w:szCs w:val="24"/>
    </w:rPr>
  </w:style>
  <w:style w:type="paragraph" w:styleId="Rubrik1">
    <w:name w:val="heading 1"/>
    <w:basedOn w:val="Normal"/>
    <w:next w:val="Normal"/>
    <w:qFormat/>
    <w:rsid w:val="00860D75"/>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860D75"/>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2C2501"/>
    <w:pPr>
      <w:keepNext/>
      <w:spacing w:before="240" w:after="60"/>
      <w:outlineLvl w:val="2"/>
    </w:pPr>
    <w:rPr>
      <w:rFonts w:ascii="Arial" w:hAnsi="Arial" w:cs="Arial"/>
      <w:b/>
      <w:bCs/>
      <w:sz w:val="26"/>
      <w:szCs w:val="26"/>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Hyperlnk">
    <w:name w:val="Hyperlink"/>
    <w:basedOn w:val="Standardstycketeckensnitt"/>
    <w:rsid w:val="00860D75"/>
    <w:rPr>
      <w:color w:val="0000FF"/>
      <w:u w:val="single"/>
    </w:rPr>
  </w:style>
  <w:style w:type="table" w:styleId="Tabellrutnt">
    <w:name w:val="Table Grid"/>
    <w:basedOn w:val="Normaltabell"/>
    <w:rsid w:val="00860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rsid w:val="005E36BB"/>
    <w:pPr>
      <w:tabs>
        <w:tab w:val="center" w:pos="4536"/>
        <w:tab w:val="right" w:pos="9072"/>
      </w:tabs>
    </w:pPr>
  </w:style>
  <w:style w:type="paragraph" w:styleId="Sidfot">
    <w:name w:val="footer"/>
    <w:basedOn w:val="Normal"/>
    <w:rsid w:val="005E36BB"/>
    <w:pPr>
      <w:tabs>
        <w:tab w:val="center" w:pos="4536"/>
        <w:tab w:val="right" w:pos="9072"/>
      </w:tabs>
    </w:pPr>
  </w:style>
  <w:style w:type="character" w:styleId="Sidnummer">
    <w:name w:val="page number"/>
    <w:basedOn w:val="Standardstycketeckensnitt"/>
    <w:rsid w:val="003C50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v.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1469</Words>
  <Characters>8823</Characters>
  <Application>Microsoft Office Word</Application>
  <DocSecurity>0</DocSecurity>
  <Lines>73</Lines>
  <Paragraphs>20</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Arbetsmiljö </vt:lpstr>
      <vt:lpstr>Arbetsmiljö </vt:lpstr>
    </vt:vector>
  </TitlesOfParts>
  <Company>FIA AB</Company>
  <LinksUpToDate>false</LinksUpToDate>
  <CharactersWithSpaces>10272</CharactersWithSpaces>
  <SharedDoc>false</SharedDoc>
  <HLinks>
    <vt:vector size="6" baseType="variant">
      <vt:variant>
        <vt:i4>7995393</vt:i4>
      </vt:variant>
      <vt:variant>
        <vt:i4>0</vt:i4>
      </vt:variant>
      <vt:variant>
        <vt:i4>0</vt:i4>
      </vt:variant>
      <vt:variant>
        <vt:i4>5</vt:i4>
      </vt:variant>
      <vt:variant>
        <vt:lpwstr>http://www.av.se/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Arbetsmiljö</dc:title>
  <dc:creator>Linda Irebrand</dc:creator>
  <cp:lastModifiedBy>Johan Ericson</cp:lastModifiedBy>
  <cp:revision>2</cp:revision>
  <cp:lastPrinted>2008-08-29T11:56:00Z</cp:lastPrinted>
  <dcterms:created xsi:type="dcterms:W3CDTF">2014-10-07T12:15:00Z</dcterms:created>
  <dcterms:modified xsi:type="dcterms:W3CDTF">2014-10-07T12:15:00Z</dcterms:modified>
</cp:coreProperties>
</file>